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JGG — Persönlicher und sachlicher Anwendungsbereich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(1) Dieses Gesetz gilt, wenn ein Jugendlicher oder ein Heranwachsender eine Verfehlung begeht, die nach den allgemeinen Vorschriften mit Strafe bedroht ist.</w:t>
      </w:r>
    </w:p>
    <w:p>
      <w:r>
        <w:t xml:space="preserve">(2) Jugendlicher ist, wer zur Zeit der Tat vierzehn, aber noch nicht achtzehn, Heranwachsender, wer zur Zeit der Tat achtzehn, aber noch nicht einundzwanzig Jahre alt ist.</w:t>
      </w:r>
    </w:p>
    <w:p>
      <w:r>
        <w:t xml:space="preserve">(3) Ist zweifelhaft, ob der Beschuldigte zur Zeit der Tat das achtzehnte Lebensjahr vollendet hat, sind die für Jugendliche geltenden Verfahrensvorschriften anzuwenden.</w:t>
      </w:r>
    </w:p>
    <w:p>
      <w:r>
        <w:rPr>
          <w:color w:val="555555"/>
          <w:sz w:val="17"/>
        </w:rPr>
        <w:t xml:space="preserve">Zitiervorschlag: § 1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