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JFPO (Bayern)</w:t>
      </w:r>
    </w:p>
    <w:p>
      <w:r>
        <w:rPr>
          <w:color w:val="555555"/>
          <w:sz w:val="18"/>
        </w:rPr>
        <w:t xml:space="preserve">Jäger- und Falknerprüfungsordnung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28 Abs. 1 des Bayerischen Jagdgesetzes – BayJG – (BayRS 792-1-L), zuletzt geändert durch Art. 16 des Gesetzes vom 22. Dezember 2006 (GVBl S. 1056) und Art. 21 Abs. 1 Satz 1 des Kostengesetzes vom 20. Februar 1998 (GVBl S. 43, BayRS 2013-1-1-F), zuletzt geändert durch § 6 des Gesetzes vom 9. Mai 2006 (GVBl S. 193), erlässt das Bayerische Staatsministerium für Landwirtschaft und Forsten, hinsichtlich der §§ 2, 3 und 5 Satz 6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JFPO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https://recht.nulegal.eu/gesetze/JFPO/eingangsformel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