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JFDG — Fördervoraussetzungen</w:t>
      </w:r>
    </w:p>
    <w:p>
      <w:r>
        <w:rPr>
          <w:color w:val="555555"/>
          <w:sz w:val="18"/>
        </w:rPr>
        <w:t xml:space="preserve">Jugendfreiwilligendienstegesetz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Jugendfreiwilligendienste fördern die Bildungsfähigkeit der Jugendlichen und gehören zu den besonderen Formen des bürgerschaftlichen Engagements. Ein Jugendfreiwilligendienst wird gefördert, wenn die in den §§ 2 bis 8 genannten Voraussetzungen erfüllt sind und der Dienst von einem nach § 10 zugelassenen Träger durchgeführt wird. Die Förderung dient dazu, die Härten und Nachteile zu beseitigen, die mit der Ableistung des Jugendfreiwilligendienstes im Sinne dieses Gesetzes verbunden sind.</w:t>
      </w:r>
    </w:p>
    <w:p>
      <w:r>
        <w:t xml:space="preserve">(2) Jugendfreiwilligendienste im Sinne des Gesetzes sind das freiwillige soziale Jahr (FSJ) und das freiwillige ökologische Jahr (FÖJ).</w:t>
      </w:r>
    </w:p>
    <w:p>
      <w:r>
        <w:rPr>
          <w:color w:val="555555"/>
          <w:sz w:val="17"/>
        </w:rPr>
        <w:t xml:space="preserve">Zitiervorschlag: § 1 JFDG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https://recht.nulegal.eu/gesetze/JFDG/1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