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JBeitrO</w:t>
      </w:r>
    </w:p>
    <w:p>
      <w:r>
        <w:rPr>
          <w:color w:val="555555"/>
          <w:sz w:val="18"/>
        </w:rPr>
        <w:t xml:space="preserve">Justizbeitreibungsgesetz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Einwendungen gegen die Vollstreckung erhoben, so kann die Vollstreckungsbehörde die Vollstreckungsmaßnahmen einstweilen einstellen, aufheben oder von weiteren Vollstreckungsmaßnahmen Abstand nehmen, bis über die Einwendung endgültig entschieden ist.</w:t>
      </w:r>
    </w:p>
    <w:p>
      <w:r>
        <w:t xml:space="preserve">(2) Der Vollziehungsbeamte hat von der Pfändung abzusehen, wenn ihm die Zahlung oder Stundung der Schuld nachgewiesen wird.</w:t>
      </w:r>
    </w:p>
    <w:p>
      <w:r>
        <w:rPr>
          <w:color w:val="555555"/>
          <w:sz w:val="17"/>
        </w:rPr>
        <w:t xml:space="preserve">Zitiervorschlag: § 9 JBeitrO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https://recht.nulegal.eu/gesetze/JBeitrO/9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