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JBeitrO</w:t>
      </w:r>
    </w:p>
    <w:p>
      <w:r>
        <w:rPr>
          <w:color w:val="555555"/>
          <w:sz w:val="18"/>
        </w:rPr>
        <w:t xml:space="preserve">Justizbeitreibungsgesetz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Bei der Pfändung von Forderungen oder anderen Vermögensrechten gelten die Vorschriften des Gerichtskostengesetzes sinngemäß.</w:t>
      </w:r>
    </w:p>
    <w:p>
      <w:r>
        <w:t xml:space="preserve">(2) Für die Tätigkeit des Vollziehungsbeamten gelten die Vorschriften des Gerichtsvollzieherkostengesetzes sinngemäß.</w:t>
      </w:r>
    </w:p>
    <w:p>
      <w:r>
        <w:rPr>
          <w:color w:val="555555"/>
          <w:sz w:val="17"/>
        </w:rPr>
        <w:t xml:space="preserve">Zitiervorschlag: § 10 JBeitrO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https://recht.nulegal.eu/gesetze/JBeitrO/10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