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JBeitrGVBV (Bayern)</w:t>
      </w:r>
    </w:p>
    <w:p>
      <w:r>
        <w:rPr>
          <w:color w:val="555555"/>
          <w:sz w:val="18"/>
        </w:rPr>
        <w:t xml:space="preserve">Vollstreckungsbehörden-Verordnung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2 Abs. 1 Satz 2 der Justizbeitreibungsordnung vom 11. März 1937 (BGBl III 365-1), zuletzt geändert durch Art. 4 Abs. 32 des Gesetzes vom 5. Mai 2004 (BGBl I S. 718), in Verbindung mit Art. 2 des Landesjustizkostengesetzes in der Fassung der Bekanntmachung vom 3. Juni 1992 (GVBl S. 154, BayRS 36-4-J), zuletzt geändert durch Gesetz vom 24. Dezember 2002 (GVBl S. 983), und mit § 3 Nr. 22 der Verordnung über die Zuständigkeit zum Erlass von Rechtsverordnungen (Delegationsverordnung – DelV) vom 15. Juni 2004 (GVBl S. 239, BayRS 103-2-S) erlässt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JBeitrGVBV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https://recht.nulegal.eu/gesetze/JBeitrGVBV/eingangsformel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