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JBaVO (Sachsen) — Übergangsvorschriften</w:t>
      </w:r>
    </w:p>
    <w:p>
      <w:r>
        <w:rPr>
          <w:color w:val="555555"/>
          <w:sz w:val="18"/>
        </w:rPr>
        <w:t xml:space="preserve">Jurabachelorverordnung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Antrag auf Verleihung eines Bachelorgrades kann ab dem Tag gestellt werden, an dem die Ordnung im Sinne von § 3 Absatz 1 Satz 1 in Kraft tritt, jedenfalls aber ab dem 1. April 2025.</w:t>
      </w:r>
    </w:p>
    <w:p>
      <w:r>
        <w:t xml:space="preserve">(2) Studierende, bei denen alle Voraussetzungen für die Verleihung eines Bachelorgrades nach § 9 Absatz 1 des Sächsischen Juristenausbildungsgesetzes erstmals nach dem 31. Dezember 2018 und vor dem 1. April 2025 vorliegen oder vorgelegen haben, können den Antrag auf Verleihung abweichend von § 1 Absatz 1 Satz 1 bis zum 1. April 2026 stellen.</w:t>
      </w:r>
    </w:p>
    <w:p>
      <w:r>
        <w:rPr>
          <w:color w:val="555555"/>
          <w:sz w:val="17"/>
        </w:rPr>
        <w:t xml:space="preserve">Zitiervorschlag: § 6 JBaVO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https://recht.nulegal.eu/gesetze/JBaVO/6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