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JBaVO (Sachsen) — Bezeichnung des Bachelorgrades und auszustellende Dokumente</w:t>
      </w:r>
    </w:p>
    <w:p>
      <w:r>
        <w:rPr>
          <w:color w:val="555555"/>
          <w:sz w:val="18"/>
        </w:rPr>
        <w:t xml:space="preserve">Jurabachelorverordnung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nach dieser Verordnung verliehene Bachelorgrad trägt die Bezeichnung „Bachelor of Laws (LL. B.)“.</w:t>
      </w:r>
    </w:p>
    <w:p>
      <w:r>
        <w:t xml:space="preserve">(2) Die Verleihung des Bachelorgrades erfolgt durch Aushändigung einer Urkunde. Über den verliehenen Bachelorgrad erteilt die Universität Leipzig ein Zeugnis. Die Universität Leipzig bestimmt, welche Angaben die Dokumente nach den Sätzen 1 und 2 enthalten. Sie stellt eine englische Übersetzung der Dokumente nach den Sätzen 1 und 2 aus. Die Universität Leipzig bestimmt, welche weiteren Unterlagen sie über den verliehenen Bachelorgrad ausstellt.</w:t>
      </w:r>
    </w:p>
    <w:p>
      <w:r>
        <w:rPr>
          <w:color w:val="555555"/>
          <w:sz w:val="17"/>
        </w:rPr>
        <w:t xml:space="preserve">Zitiervorschlag: § 4 JBaVO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https://recht.nulegal.eu/gesetze/JBaVO/4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