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JArbSchUV — Ärztliche Mitteilung an den Personensorgeberechtigten</w:t>
      </w:r>
    </w:p>
    <w:p>
      <w:r>
        <w:rPr>
          <w:color w:val="555555"/>
          <w:sz w:val="18"/>
        </w:rPr>
        <w:t xml:space="preserve">Jugendarbeitsschutzuntersuchungsverordnung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Für die ärztliche Mitteilung an den Personensorgeberechtigten nach § 39 Abs. 1 des Jugendarbeitsschutzgesetzes hat der Arzt bei einer Erstuntersuchung und bei einer Nachuntersuchung einen Vordruck nach dem Muster der Anlage 3 zu verwenden.</w:t>
      </w:r>
    </w:p>
    <w:p>
      <w:r>
        <w:rPr>
          <w:color w:val="555555"/>
          <w:sz w:val="17"/>
        </w:rPr>
        <w:t xml:space="preserve">Zitiervorschlag: § 5 JArbSchUV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https://recht.nulegal.eu/gesetze/JArbSchUV/5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