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JArbSchG — Inkrafttreten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Mai 1976 in Kraft.</w:t>
      </w:r>
    </w:p>
    <w:p>
      <w:r>
        <w:t xml:space="preserve">(2) (Aufhebungsvorschrift)</w:t>
      </w:r>
    </w:p>
    <w:p>
      <w:r>
        <w:t xml:space="preserve">(3) Die auf Grund des § 37 Abs. 2 und des § 53 des Jugendarbeitsschutzgesetzes vom 9. August 1960, des § 20 Abs. 1 des Jugendschutzgesetzes vom 30. April 1938 und des § 120e der Gewerbeordnung erlassenen Vorschriften bleiben unberührt. Sie können, soweit sie den Geltungsbereich dieses Gesetzes betreffen, durch Rechtsverordnungen auf Grund des § 26 oder des § 46 geändert oder aufgehoben werden.</w:t>
      </w:r>
    </w:p>
    <w:p>
      <w:r>
        <w:t xml:space="preserve">(4) Vorschriften in Rechtsverordnungen, die durch § 69 dieses Gesetzes geändert werden, können vom Bundesministerium für Arbeit und Soziales im Rahmen der bestehenden Ermächtigungen geändert oder aufgehoben werden.</w:t>
      </w:r>
    </w:p>
    <w:p>
      <w:r>
        <w:t xml:space="preserve">(5) Verweisungen auf Vorschriften des Jugendarbeitsschutzgesetzes vom 9. August 1960 gelten als Verweisungen auf die entsprechenden Vorschriften dieses Gesetzes oder der auf Grund dieses Gesetzes erlassenen Rechtsverordnungen.</w:t>
      </w:r>
    </w:p>
    <w:p>
      <w:r>
        <w:rPr>
          <w:color w:val="555555"/>
          <w:sz w:val="17"/>
        </w:rPr>
        <w:t xml:space="preserve">Zitiervorschlag: § 72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