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JArbSchG — Erstuntersuchung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Jugendlicher, der in das Berufsleben eintritt, darf nur beschäftigt werden, wenn</w:t>
      </w:r>
    </w:p>
    <w:p>
      <w:pPr>
        <w:ind w:left="420"/>
      </w:pPr>
      <w:r>
        <w:t xml:space="preserve">1. er innerhalb der letzten vierzehn Monate von einem Arzt untersucht worden ist (Erstuntersuchung) und</w:t>
      </w:r>
    </w:p>
    <w:p>
      <w:pPr>
        <w:ind w:left="420"/>
      </w:pPr>
      <w:r>
        <w:t xml:space="preserve">2. dem Arbeitgeber eine von diesem Arzt ausgestellte Bescheinigung vorliegt.</w:t>
      </w:r>
    </w:p>
    <w:p>
      <w:r>
        <w:t xml:space="preserve">(2) Absatz 1 gilt nicht für eine nur geringfügige oder eine nicht länger als zwei Monate dauernde Beschäftigung mit leichten Arbeiten, von denen keine gesundheitlichen Nachteile für den Jugendlichen zu befürchten sind.</w:t>
      </w:r>
    </w:p>
    <w:p>
      <w:r>
        <w:rPr>
          <w:color w:val="555555"/>
          <w:sz w:val="17"/>
        </w:rPr>
        <w:t xml:space="preserve">Zitiervorschlag: § 32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