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JArbSchG — Arbeitgeber</w:t>
      </w:r>
    </w:p>
    <w:p>
      <w:r>
        <w:rPr>
          <w:color w:val="555555"/>
          <w:sz w:val="18"/>
        </w:rPr>
        <w:t xml:space="preserve">Jugendarbeitsschutzgesetz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Arbeitgeber im Sinne dieses Gesetzes ist, wer ein Kind oder einen Jugendlichen gemäß § 1 beschäftigt.</w:t>
      </w:r>
    </w:p>
    <w:p>
      <w:r>
        <w:rPr>
          <w:color w:val="555555"/>
          <w:sz w:val="17"/>
        </w:rPr>
        <w:t xml:space="preserve">Zitiervorschlag: § 3 JArbSchG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https://recht.nulegal.eu/gesetze/JArbSchG/3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