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JArbSchG — Menschengerechte Gestaltung der Arbeit</w:t>
      </w:r>
    </w:p>
    <w:p>
      <w:r>
        <w:rPr>
          <w:color w:val="555555"/>
          <w:sz w:val="18"/>
        </w:rPr>
        <w:t xml:space="preserve">Jugendarbeitsschutzgesetz</w:t>
      </w:r>
    </w:p>
    <w:p>
      <w:r>
        <w:rPr>
          <w:color w:val="555555"/>
          <w:sz w:val="18"/>
        </w:rPr>
        <w:t xml:space="preserve">Stand: 10.06.2019 (konsolidierte Textfassung, kein amtliches Inkrafttretensdatum)</w:t>
      </w:r>
    </w:p>
    <w:p>
      <w:r>
        <w:t xml:space="preserve">(1) Der Arbeitgeber hat bei der Einrichtung und der Unterhaltung der Arbeitsstätte einschließlich der Maschinen, Werkzeuge und Geräte und bei der Regelung der Beschäftigung die Vorkehrungen und Maßnahmen zu treffen, die zum Schutz der Jugendlichen gegen Gefahren für Leben und Gesundheit sowie zur Vermeidung einer Beeinträchtigung der körperlichen oder seelisch-geistigen Entwicklung der Jugendlichen erforderlich sind. Hierbei sind das mangelnde Sicherheitsbewußtsein, die mangelnde Erfahrung und der Entwicklungsstand der Jugendlichen zu berücksichtigen und die allgemein anerkannten sicherheitstechnischen und arbeitsmedizinischen Regeln sowie die sonstigen gesicherten arbeitswissenschaftlichen Erkenntnisse zu beachten.</w:t>
      </w:r>
    </w:p>
    <w:p>
      <w:r>
        <w:t xml:space="preserve">(2) Das Bundesministerium für Arbeit und Soziales kann durch Rechtsverordnung mit Zustimmung des Bundesrates bestimmen, welche Vorkehrungen und Maßnahmen der Arbeitgeber zur Erfüllung der sich aus Absatz 1 ergebenden Pflichten zu treffen hat.</w:t>
      </w:r>
    </w:p>
    <w:p>
      <w:r>
        <w:t xml:space="preserve">(3) Die Aufsichtsbehörde kann in Einzelfällen anordnen, welche Vorkehrungen und Maßnahmen zur Durchführung des Absatzes 1 oder einer vom Bundesministerium für Arbeit und Soziales gemäß Absatz 2 erlassenen Verordnung zu treffen sind.</w:t>
      </w:r>
    </w:p>
    <w:p>
      <w:r>
        <w:rPr>
          <w:color w:val="555555"/>
          <w:sz w:val="17"/>
        </w:rPr>
        <w:t xml:space="preserve">Zitiervorschlag: § 28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