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JArbSchG — Verbot der Beschäftigung durch bestimmte Personen</w:t>
      </w:r>
    </w:p>
    <w:p>
      <w:r>
        <w:rPr>
          <w:color w:val="555555"/>
          <w:sz w:val="18"/>
        </w:rPr>
        <w:t xml:space="preserve">Jugendarbeitsschutzgesetz</w:t>
      </w:r>
    </w:p>
    <w:p>
      <w:r>
        <w:rPr>
          <w:color w:val="555555"/>
          <w:sz w:val="18"/>
        </w:rPr>
        <w:t xml:space="preserve">Stand: 01.04.2024 (konsolidierte Textfassung, kein amtliches Inkrafttretensdatum)</w:t>
      </w:r>
    </w:p>
    <w:p>
      <w:r>
        <w:t xml:space="preserve">(1) Personen, die</w:t>
      </w:r>
    </w:p>
    <w:p>
      <w:pPr>
        <w:ind w:left="420"/>
      </w:pPr>
      <w:r>
        <w:t xml:space="preserve">1. wegen eines Verbrechens zu einer Freiheitsstrafe von mindestens zwei Jahren,</w:t>
      </w:r>
    </w:p>
    <w:p>
      <w:pPr>
        <w:ind w:left="420"/>
      </w:pPr>
      <w:r>
        <w:t xml:space="preserve">2. wegen einer vorsätzlichen Straftat, die sie unter Verletzung der ihnen als Arbeitgeber, Ausbildender oder Ausbilder obliegenden Pflichten zum Nachteil von Kindern oder Jugendlichen begangen haben, zu einer Freiheitsstrafe von mehr als drei Monaten,</w:t>
      </w:r>
    </w:p>
    <w:p>
      <w:pPr>
        <w:ind w:left="420"/>
      </w:pPr>
      <w:r>
        <w:t xml:space="preserve">3. wegen einer Straftat nach den §§ 109h, 171, 174 bis 184l, 225, 232 bis 233a des Strafgesetzbuches,</w:t>
      </w:r>
    </w:p>
    <w:p>
      <w:pPr>
        <w:ind w:left="420"/>
      </w:pPr>
      <w:r>
        <w:t xml:space="preserve">4. wegen einer Straftat nach dem Betäubungsmittelgesetz,</w:t>
      </w:r>
    </w:p>
    <w:p>
      <w:pPr>
        <w:ind w:left="420"/>
      </w:pPr>
      <w:r>
        <w:t xml:space="preserve">5. wegen einer Straftat nach dem Konsumcannabisgesetz oder nach dem Medizinal-Cannabisgesetz oder</w:t>
      </w:r>
    </w:p>
    <w:p>
      <w:pPr>
        <w:ind w:left="420"/>
      </w:pPr>
      <w:r>
        <w:t xml:space="preserve">6. wegen einer Straftat nach dem Jugendschutzgesetz wenigstens zweimal</w:t>
      </w:r>
    </w:p>
    <w:p>
      <w:r>
        <w:t xml:space="preserve">rechtskräftig verurteilt worden sind, dürfen Jugendliche nicht beschäftigen sowie im Rahmen eines Rechtsverhältnisses im Sinne des § 1 nicht beaufsichtigen, nicht anweisen, nicht ausbilden und nicht mit der Beaufsichtigung, Anweisung oder Ausbildung von Jugendlichen beauftragt werden. Eine Verurteilung bleibt außer Betracht, wenn seit dem Tag ihrer Rechtskraft fünf Jahre verstrichen sind. Die Zeit, in welcher der Täter auf behördliche Anordnung in einer Anstalt verwahrt worden ist, wird nicht eingerechnet.</w:t>
      </w:r>
    </w:p>
    <w:p>
      <w:r>
        <w:t xml:space="preserve">(2) Das Verbot des Absatzes 1 Satz 1 gilt auch für Personen, gegen die wegen einer Ordnungswidrigkeit nach § 58 Abs. 1 bis 4 wenigstens dreimal eine Geldbuße rechtskräftig festgesetzt worden ist. Eine Geldbuße bleibt außer Betracht, wenn seit dem Tag ihrer rechtskräftigen Festsetzung fünf Jahre verstrichen sind.</w:t>
      </w:r>
    </w:p>
    <w:p>
      <w:r>
        <w:t xml:space="preserve">(3) Das Verbot des Absatzes 1 und 2 gilt nicht für die Beschäftigung durch die Personensorgeberechtigten.</w:t>
      </w:r>
    </w:p>
    <w:p>
      <w:r>
        <w:rPr>
          <w:color w:val="555555"/>
          <w:sz w:val="17"/>
        </w:rPr>
        <w:t xml:space="preserve">Zitiervorschlag: § 25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