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JArbSchG — Akkordarbeit, tempoabhängige Arbeiten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Jugendliche dürfen nicht beschäftigt werden</w:t>
      </w:r>
    </w:p>
    <w:p>
      <w:pPr>
        <w:ind w:left="420"/>
      </w:pPr>
      <w:r>
        <w:t xml:space="preserve">1. mit Akkordarbeit und sonstigen Arbeiten, bei denen durch ein gesteigertes Arbeitstempo ein höheres Entgelt erzielt werden kann,</w:t>
      </w:r>
    </w:p>
    <w:p>
      <w:pPr>
        <w:ind w:left="420"/>
      </w:pPr>
      <w:r>
        <w:t xml:space="preserve">2. in einer Arbeitsgruppe mit erwachsenen Arbeitnehmern, die mit Arbeiten nach Nummer 1 beschäftigt werden,</w:t>
      </w:r>
    </w:p>
    <w:p>
      <w:pPr>
        <w:ind w:left="420"/>
      </w:pPr>
      <w:r>
        <w:t xml:space="preserve">3. mit Arbeiten, bei denen ihr Arbeitstempo nicht nur gelegentlich vorgeschrieben, vorgegeben oder auf andere Weise erzwungen wird.</w:t>
      </w:r>
    </w:p>
    <w:p>
      <w:r>
        <w:t xml:space="preserve">(2) Absatz 1 Nr. 2 gilt nicht für die Beschäftigung Jugendlicher,</w:t>
      </w:r>
    </w:p>
    <w:p>
      <w:pPr>
        <w:ind w:left="420"/>
      </w:pPr>
      <w:r>
        <w:t xml:space="preserve">1. soweit dies zur Erreichung ihres Ausbildungsziels erforderlich istoder</w:t>
      </w:r>
    </w:p>
    <w:p>
      <w:pPr>
        <w:ind w:left="420"/>
      </w:pPr>
      <w:r>
        <w:t xml:space="preserve">2. wenn sie eine Berufsausbildung für diese Beschäftigung abgeschlossen haben</w:t>
      </w:r>
    </w:p>
    <w:p>
      <w:r>
        <w:t xml:space="preserve">und ihr Schutz durch die Aufsicht eines Fachkundigen gewährleistet ist.</w:t>
      </w:r>
    </w:p>
    <w:p>
      <w:r>
        <w:rPr>
          <w:color w:val="555555"/>
          <w:sz w:val="17"/>
        </w:rPr>
        <w:t xml:space="preserve">Zitiervorschlag: § 23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