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JArbSchG — Kind, Jugendlicher</w:t>
      </w:r>
    </w:p>
    <w:p>
      <w:r>
        <w:rPr>
          <w:color w:val="555555"/>
          <w:sz w:val="18"/>
        </w:rPr>
        <w:t xml:space="preserve">Jugendarbeitsschutzgesetz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Kind im Sinne dieses Gesetzes ist, wer noch nicht 15 Jahre alt ist.</w:t>
      </w:r>
    </w:p>
    <w:p>
      <w:r>
        <w:t xml:space="preserve">(2) Jugendlicher im Sinne dieses Gesetzes ist, wer 15, aber noch nicht 18 Jahre alt ist.</w:t>
      </w:r>
    </w:p>
    <w:p>
      <w:r>
        <w:t xml:space="preserve">(3) Auf Jugendliche, die der Vollzeitschulpflicht unterliegen, finden die für Kinder geltenden Vorschriften Anwendung.</w:t>
      </w:r>
    </w:p>
    <w:p>
      <w:r>
        <w:rPr>
          <w:color w:val="555555"/>
          <w:sz w:val="17"/>
        </w:rPr>
        <w:t xml:space="preserve">Zitiervorschlag: § 2 JArbSchG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https://recht.nulegal.eu/gesetze/JArbSchG/2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