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JArbSchG — Feiertagsruhe</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Am 24. und 31. Dezember nach 14 Uhr und an gesetzlichen Feiertagen dürfen Jugendliche nicht beschäftigt werden.</w:t>
      </w:r>
    </w:p>
    <w:p>
      <w:r>
        <w:t xml:space="preserve">(2) Zulässig ist die Beschäftigung Jugendlicher an gesetzlichen Feiertagen in den Fällen des § 17 Abs. 2, ausgenommen am 25. Dezember, am 1. Januar, am ersten Osterfeiertag und am 1. Mai.</w:t>
      </w:r>
    </w:p>
    <w:p>
      <w:r>
        <w:t xml:space="preserve">(3) Für die Beschäftigung an einem gesetzlichen Feiertag, der auf einem Werktag fällt, ist der Jugendliche an einem anderen berufsschulfreien Arbeitstag derselben oder der folgenden Woche freizustellen. In Betrieben mit einem Betriebsruhetag in der Woche kann die Freistellung auch an diesem Tag erfolgen, wenn die Jugendlichen an diesem Tag keinen Berufsschulunterricht haben.</w:t>
      </w:r>
    </w:p>
    <w:p>
      <w:r>
        <w:rPr>
          <w:color w:val="555555"/>
          <w:sz w:val="17"/>
        </w:rPr>
        <w:t xml:space="preserve">Zitiervorschlag: § 18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