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JArbSchG — Schichtzeit</w:t>
      </w:r>
    </w:p>
    <w:p>
      <w:r>
        <w:rPr>
          <w:color w:val="555555"/>
          <w:sz w:val="18"/>
        </w:rPr>
        <w:t xml:space="preserve">Jugendarbeitsschutzgesetz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der Beschäftigung Jugendlicher darf die Schichtzeit (§ 4 Abs. 2) 10 Stunden, im Bergbau unter Tage 8 Stunden, im Gaststättengewerbe, in der Landwirtschaft, in der Tierhaltung, auf Bau- und Montagestellen 11 Stunden nicht überschreiten.</w:t>
      </w:r>
    </w:p>
    <w:p>
      <w:r>
        <w:rPr>
          <w:color w:val="555555"/>
          <w:sz w:val="17"/>
        </w:rPr>
        <w:t xml:space="preserve">Zitiervorschlag: § 12 JArbSchG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