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JAktAV</w:t>
      </w:r>
    </w:p>
    <w:p>
      <w:r>
        <w:rPr>
          <w:color w:val="555555"/>
          <w:sz w:val="18"/>
        </w:rPr>
        <w:t xml:space="preserve">Justizaktenaufbewahrungsverordnung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Auf Grund des § 2 Absatz 1 Satz 1 des Justizaktenaufbewahrungsgesetzes, der durch Artikel 4 Nummer 3 Buchstabe a des Gesetzes vom 5. Juli 2017 (BGBl. I S. 2208) neu gefasst worden ist, verordnet die Bundesregierung:</w:t>
      </w:r>
    </w:p>
    <w:p>
      <w:r>
        <w:rPr>
          <w:color w:val="555555"/>
          <w:sz w:val="17"/>
        </w:rPr>
        <w:t xml:space="preserve">Zitiervorschlag: Eingangsformel JAktAV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https://recht.nulegal.eu/gesetze/JAktAV/eingangsformel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