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JAktAV — Beginn der Aufbewahrungs- und Speicherungsfristen in Straf- und Bußgeldsachen</w:t>
      </w:r>
    </w:p>
    <w:p>
      <w:r>
        <w:rPr>
          <w:color w:val="555555"/>
          <w:sz w:val="18"/>
        </w:rPr>
        <w:t xml:space="preserve">Justizaktenaufbewahrungsverordnung</w:t>
      </w:r>
    </w:p>
    <w:p>
      <w:r>
        <w:rPr>
          <w:color w:val="555555"/>
          <w:sz w:val="18"/>
        </w:rPr>
        <w:t xml:space="preserve">Stand: 01.01.2022 (konsolidierte Textfassung, kein amtliches Inkrafttretensdatum)</w:t>
      </w:r>
    </w:p>
    <w:p>
      <w:r>
        <w:t xml:space="preserve">(1) Die Aufbewahrungs- und Speicherungsfrist für Akten in Straf- und Bußgeldsachen beginnt mit Ablauf des Jahres, in dem die verfahrensbeendende Entscheidung rechtskräftig geworden ist. Sofern die verfahrensbeendende Entscheidung keiner Rechtskraft bedarf, beginnt die Aufbewahrungs- und Speicherungsfrist mit Ablauf des Jahres, in dem die Entscheidung getroffen worden ist. Bei Verfahren gegen mehrere Beschuldigte oder Betroffene ist die letzte Entscheidung maßgebend.</w:t>
      </w:r>
    </w:p>
    <w:p>
      <w:r>
        <w:t xml:space="preserve">(2) Wird nachträglich auf eine Gesamtstrafe erkannt, so beginnt für die Akten über die in diese Entscheidung einbezogenen Verurteilungen eine neue Aufbewahrungs- und Speicherungsfrist mit Ablauf des Jahres, in dem diese Entscheidung rechtskräftig geworden ist.</w:t>
      </w:r>
    </w:p>
    <w:p>
      <w:r>
        <w:t xml:space="preserve">(3) Ist zum Zeitpunkt der Weglegung der Akten die unter Zugrundelegung der Fristbestimmung nach Absatz 1 oder Absatz 2 bestimmte Aufbewahrungs- und Speicherungsfrist bereits abgelaufen oder endet diese mit Ablauf des Jahres der Weglegung oder der beiden darauffolgenden Jahre, so sind die Akten mit Ablauf des Jahres, in dem die Weglegung angeordnet wurde, für weitere drei Jahre aufzubewahren oder zu speichern. In den Fällen der Nummer 1113.1 Buchstabe a der Anlage sind die Akten für weitere zwei Jahre aufzubewahren oder zu speichern.</w:t>
      </w:r>
    </w:p>
    <w:p>
      <w:r>
        <w:rPr>
          <w:color w:val="555555"/>
          <w:sz w:val="17"/>
        </w:rPr>
        <w:t xml:space="preserve">Zitiervorschlag: § 5 JAktAV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https://recht.nulegal.eu/gesetze/JAktAV/5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