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JAktAV — Beginn der Aufbewahrungs- und Speicherungsfristen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Aufbewahrungs- und Speicherungsfrist beginnt mit Ablauf des Jahres, in dem die Weglegung der Akten angeordnet wurde. Für Akten, für die die Weglegung nicht geregelt ist, beginnt die Aufbewahrungs- und Speicherungsfrist mit Ablauf des Jahres, in dem die letzte Verfügung zur Sache ergangen ist.</w:t>
      </w:r>
    </w:p>
    <w:p>
      <w:r>
        <w:t xml:space="preserve">(2) Für Akten, die nach einem wieder aufgenommenen oder fortgesetzten Verfahren erneut weggelegt werden, beginnt mit Ablauf des Jahres der erneuten Weglegung eine neue Aufbewahrungs- und Speicherungsfrist.</w:t>
      </w:r>
    </w:p>
    <w:p>
      <w:r>
        <w:t xml:space="preserve">(3) Beträgt die Aufbewahrungs- und Speicherungsfrist weniger als ein Jahr, beginnt sie abweichend von Absatz 1 mit Ablauf des Monats, in dem die Weglegung der Akten angeordnet wurde oder die letzte Verfügung zur Sache ergangen ist. Absatz 2 gilt mit der Maßgabe, dass die neue Aufbewahrungs- und Speicherungsfrist mit Ablauf des Monats der erneuten Weglegung beginnt.</w:t>
      </w:r>
    </w:p>
    <w:p>
      <w:r>
        <w:rPr>
          <w:color w:val="555555"/>
          <w:sz w:val="17"/>
        </w:rPr>
        <w:t xml:space="preserve">Zitiervorschlag: § 4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