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JAktAV — Durchführung der Aufbewahrung und Speicherung</w:t>
      </w:r>
    </w:p>
    <w:p>
      <w:r>
        <w:rPr>
          <w:color w:val="555555"/>
          <w:sz w:val="18"/>
        </w:rPr>
        <w:t xml:space="preserve">Justizaktenaufbewahrungsverordnung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weggelegten oder abschließend bearbeiteten Akten, Aktenregister, Karteien, Namens- und sonstigen Verzeichnisse sind bis zum Ablauf der jeweiligen Aufbewahrungs- und Speicherungsfristen vollständig aufzubewahren, vor unbefugtem Zugriff zu sichern und vor Beschädigung und Verfall zu schützen. Ihre Lesbarkeit ist zu gewährleisten.</w:t>
      </w:r>
    </w:p>
    <w:p>
      <w:r>
        <w:t xml:space="preserve">(2) Bei elektronisch gespeicherten Akten, Aktenregistern, Karteien, Namens- und sonstigen Verzeichnissen sind die Vertraulichkeit, die Integrität, die Verfügbarkeit und die Authentizität durch geeignete Maßnahmen zu gewährleisten.</w:t>
      </w:r>
    </w:p>
    <w:p>
      <w:r>
        <w:rPr>
          <w:color w:val="555555"/>
          <w:sz w:val="17"/>
        </w:rPr>
        <w:t xml:space="preserve">Zitiervorschlag: § 2 JAktAV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https://recht.nulegal.eu/gesetze/JAktAV/2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