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JAktAV — Inkrafttreten</w:t>
      </w:r>
    </w:p>
    <w:p>
      <w:r>
        <w:rPr>
          <w:color w:val="555555"/>
          <w:sz w:val="18"/>
        </w:rPr>
        <w:t xml:space="preserve">Justizaktenaufbewahrungsverordnung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Diese Verordnung tritt am 1. Januar 2022 in Kraft.</w:t>
      </w:r>
    </w:p>
    <w:p>
      <w:r>
        <w:rPr>
          <w:color w:val="555555"/>
          <w:sz w:val="17"/>
        </w:rPr>
        <w:t xml:space="preserve">Zitiervorschlag: § 11 JAktAV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https://recht.nulegal.eu/gesetze/JAktAV/11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