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JAktAV — Anwendungsbereich</w:t>
      </w:r>
    </w:p>
    <w:p>
      <w:r>
        <w:rPr>
          <w:color w:val="555555"/>
          <w:sz w:val="18"/>
        </w:rPr>
        <w:t xml:space="preserve">Justizaktenaufbewahrungsverordnung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Diese Verordnung regelt die Aufbewahrung und Speicherung der Akten, Aktenregister, Karteien, Namens- und sonstigen Verzeichnisse der Gerichte und der Staatsanwaltschaften, die für das Verfahren nicht mehr erforderlich sind, und die hierbei zu beachtenden Aufbewahrungs- und Speicherungsfristen. Die Regelungen für die Akten der allgemeinen Verwaltung, der Justizverwaltung und der Strafvollzugsbehörden sowie für die Akten zu Verfahren, die auf Landesrecht beruhen, bleiben unberührt.</w:t>
      </w:r>
    </w:p>
    <w:p>
      <w:r>
        <w:rPr>
          <w:color w:val="555555"/>
          <w:sz w:val="17"/>
        </w:rPr>
        <w:t xml:space="preserve">Zitiervorschlag: § 1 JAktAV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https://recht.nulegal.eu/gesetze/JAktAV/1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