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JAbschlWUV 2023 — Inkrafttreten, Außerkrafttreten</w:t>
      </w:r>
    </w:p>
    <w:p>
      <w:r>
        <w:rPr>
          <w:color w:val="555555"/>
          <w:sz w:val="18"/>
        </w:rPr>
        <w:t xml:space="preserve">Verordnung über die Gliederung des Jahresabschlusses von Wohnungsunternehmen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Diese Verordnung tritt am 1. Juli 2023 in Kraft. Gleichzeitig tritt die Verordnung über Formblätter für die Gliederung des Jahresabschlusses von Wohnungsunternehmen vom 22. September 1970 (BGBl. I S. 1334), die zuletzt durch Artikel 23 des Gesetzes vom 5. Juli 2021 (BGBl. I S. 3338) geändert worden ist, außer Kraft.</w:t>
      </w:r>
    </w:p>
    <w:p>
      <w:r>
        <w:rPr>
          <w:color w:val="555555"/>
          <w:sz w:val="17"/>
        </w:rPr>
        <w:t xml:space="preserve">Zitiervorschlag: § 7 JAbschlWUV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https://recht.nulegal.eu/gesetze/JAbschlWUV%202023/7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