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JAbschlVUV</w:t>
      </w:r>
    </w:p>
    <w:p>
      <w:r>
        <w:rPr>
          <w:color w:val="555555"/>
          <w:sz w:val="18"/>
        </w:rPr>
        <w:t xml:space="preserve">Verordnung über die Gliederung des Jahresabschlusses von Verkehrsunternehmen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Gesellschaften nach § 1 Nr. 1 und 2 haben in der Bilanz</w:t>
      </w:r>
    </w:p>
    <w:p>
      <w:pPr>
        <w:ind w:left="420"/>
      </w:pPr>
      <w:r>
        <w:t xml:space="preserve">1. dem Posten § 266 Abs. 2 Aktivseite A. II. Nr. 1 des Handelsgesetzbuchs folgenden Vermerk anzufügen:"davon:</w:t>
      </w:r>
    </w:p>
    <w:p>
      <w:pPr>
        <w:ind w:left="780"/>
      </w:pPr>
      <w:r>
        <w:t xml:space="preserve">a) Geschäfts-, Betriebs- und andere Bauten</w:t>
      </w:r>
    </w:p>
    <w:p>
      <w:pPr>
        <w:ind w:left="780"/>
      </w:pPr>
      <w:r>
        <w:t xml:space="preserve">b) Bahnkörper und Bauten des Schienenweges";</w:t>
      </w:r>
    </w:p>
    <w:p>
      <w:pPr>
        <w:ind w:left="420"/>
      </w:pPr>
      <w:r>
        <w:t xml:space="preserve">2. an die Stelle des Postens § 266 Abs. 2 Aktivseite A. II. Nr. 2 des Handelsgesetzbuchs die folgenden Posten Nummern 2 bis 4 auszuweisen:</w:t>
      </w:r>
    </w:p>
    <w:p>
      <w:pPr>
        <w:ind w:left="780"/>
      </w:pPr>
      <w:r>
        <w:t xml:space="preserve">"2. Gleisanlagen, Streckenausrüstung und Sicherungsanlagen;</w:t>
      </w:r>
    </w:p>
    <w:p>
      <w:pPr>
        <w:ind w:left="780"/>
      </w:pPr>
      <w:r>
        <w:t xml:space="preserve">3. Fahrzeuge für Personen- und Güterverkehr;</w:t>
      </w:r>
    </w:p>
    <w:p>
      <w:pPr>
        <w:ind w:left="780"/>
      </w:pPr>
      <w:r>
        <w:t xml:space="preserve">4. Maschinen und maschinelle Anlagen, die nicht zu Nummer 2 oder 3 gehören;".</w:t>
      </w:r>
    </w:p>
    <w:p>
      <w:r>
        <w:t xml:space="preserve">Die Posten § 266 Abs. 2 Aktivseite A. II. Nr. 3 und 4 des Handelsgesetzbuchs werden Posten Nummern 5 und 6.</w:t>
      </w:r>
    </w:p>
    <w:p>
      <w:r>
        <w:t xml:space="preserve">(2) § 327 Nr. 1 des Handelsgesetzbuchs ist von Gesellschaften nach § 1 Nr. 1 und 2 mit der Maßgabe anzuwenden, daß bei dem zusätzlich anzugebenden Posten Aktivseite A. II. Nr. 1 der in Absatz 1 Satz 1 Nr. 1 genannte Vermerk anzufügen ist, an die Stelle des zusätzlich anzugebenden Postens Aktivseite A. II. Nr. 2 die in Absatz 1 Satz 1 Nr. 2 genannten Posten Aktivseite A. II. Nr. 2 bis 4 treten und die Änderung in Absatz 1 Satz 2 berücksichtigt wird.</w:t>
      </w:r>
    </w:p>
    <w:p>
      <w:r>
        <w:rPr>
          <w:color w:val="555555"/>
          <w:sz w:val="17"/>
        </w:rPr>
        <w:t xml:space="preserve">Zitiervorschlag: § 2 JAbschlVUV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https://recht.nulegal.eu/gesetze/JAbschlVUV/2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