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JAbschlVUV</w:t>
      </w:r>
    </w:p>
    <w:p>
      <w:r>
        <w:rPr>
          <w:color w:val="555555"/>
          <w:sz w:val="18"/>
        </w:rPr>
        <w:t xml:space="preserve">Verordnung über die Gliederung des Jahresabschlusses von Verkehrsunternehmen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Aktiengesellschaften, Kommanditgesellschaften auf Aktien und Gesellschaften mit beschränkter Haftung, die</w:t>
      </w:r>
    </w:p>
    <w:p>
      <w:pPr>
        <w:ind w:left="420"/>
      </w:pPr>
      <w:r>
        <w:t xml:space="preserve">1. Eisenbahnen des öffentlichen Verkehrs betreiben,</w:t>
      </w:r>
    </w:p>
    <w:p>
      <w:pPr>
        <w:ind w:left="420"/>
      </w:pPr>
      <w:r>
        <w:t xml:space="preserve">2. die Beförderung von Personen mit Straßenbahnen, Oberleitungsomnibussen (Obussen) oder Kraftfahrzeugen im Linienverkehr nach dem Personenbeförderungsgesetz in der im Bundesgesetzblatt Teil III, Gliederungsnummer 9240-1, veröffentlichten bereinigten Fassung, zuletzt geändert durch Artikel 2 Nr. 13 des Gesetzes vom 8. Dezember 1986 (BGBl. I S. 2191), betreiben oder</w:t>
      </w:r>
    </w:p>
    <w:p>
      <w:pPr>
        <w:ind w:left="420"/>
      </w:pPr>
      <w:r>
        <w:t xml:space="preserve">3. die Beförderung von Gütern für andere mit Kraftfahrzeugen betreiben,</w:t>
      </w:r>
    </w:p>
    <w:p>
      <w:r>
        <w:t xml:space="preserve">gelten die Vorschriften des Dritten Buchs des Handelsgesetzbuchs über die Gliederung des Jahresabschlusses, soweit nicht in § 2 etwas anderes bestimmt ist.</w:t>
      </w:r>
    </w:p>
    <w:p>
      <w:r>
        <w:rPr>
          <w:color w:val="555555"/>
          <w:sz w:val="17"/>
        </w:rPr>
        <w:t xml:space="preserve">Zitiervorschlag: § 1 JAbschlVUV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https://recht.nulegal.eu/gesetze/JAbschlVUV/1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