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JAVollzO — Fürsorge für die Zeit nach der Entlassung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Fürsorgemaßnahmen, die für die Zeit nach der Entlassung des Jugendlichen notwendig und nicht schon anderweitig veranlaßt worden sind, werden in Zusammenarbeit mit den Trägern der öffentlichen und freien Jugendhilfe vorbereitet.</w:t>
      </w:r>
    </w:p>
    <w:p>
      <w:r>
        <w:t xml:space="preserve">(2) Ist es den Umständen nach angemessen, daß der Jugendliche nach der Entlassung ein öffentliches Verkehrsmittel nach seinem Wohn- oder Arbeitsort benutzt, so wird ihm eine Fahrkarte aus Haushaltsmitteln beschafft, wenn die eigenen Mittel des Jugendlichen nicht ausreichen oder aus Billigkeitsgründen nicht in Anspruch genommen werden sollen.</w:t>
      </w:r>
    </w:p>
    <w:p>
      <w:r>
        <w:t xml:space="preserve">(3) Maßnahmen nach den Absätzen 1 und 2 sind, soweit erforderlich, auch im Fall des § 17 Abs. 4 zu veranlassen.</w:t>
      </w:r>
    </w:p>
    <w:p>
      <w:r>
        <w:rPr>
          <w:color w:val="555555"/>
          <w:sz w:val="17"/>
        </w:rPr>
        <w:t xml:space="preserve">Zitiervorschlag: § 26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