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JAVollzO — Ausgang und Ausführung</w:t>
      </w:r>
    </w:p>
    <w:p>
      <w:r>
        <w:rPr>
          <w:color w:val="555555"/>
          <w:sz w:val="18"/>
        </w:rPr>
        <w:t xml:space="preserve">Jugendarrestvollzugsordnung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Fordern wichtige unaufschiebbare Angelegenheiten die persönliche Anwesenheit des Jugendlichen außerhalb der Anstalt, so kann der Vollzugsleiter ihm einen Ausgang gestatten oder ihn ausführen lassen. § 20 Abs. 2 Satz 2 ist anzuwenden.</w:t>
      </w:r>
    </w:p>
    <w:p>
      <w:r>
        <w:rPr>
          <w:color w:val="555555"/>
          <w:sz w:val="17"/>
        </w:rPr>
        <w:t xml:space="preserve">Zitiervorschlag: § 21 JAVollzO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https://recht.nulegal.eu/gesetze/JAVollzO/21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