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JAVollzO — Verkehr mit der Außenwelt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Verkehr mit der Außenwelt wird auf dringende Fälle beschränkt. Im Kurzarrest von mehr als zwei Tagen und im Dauerarrest können Schriftwechsel und Besuche aus erzieherischen Gründen zugelassen werden.</w:t>
      </w:r>
    </w:p>
    <w:p>
      <w:r>
        <w:t xml:space="preserve">(2) Die Entscheidung über die Zulassung des Schriftwechsels und der Besuche ist dem Vollzugsleiter vorbehalten. Ist dieser nicht erreichbar, so trifft der dazu bestimmte Vollzugsbedienstete die Entscheidung.</w:t>
      </w:r>
    </w:p>
    <w:p>
      <w:r>
        <w:rPr>
          <w:color w:val="555555"/>
          <w:sz w:val="17"/>
        </w:rPr>
        <w:t xml:space="preserve">Zitiervorschlag: § 20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