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JAPO (Bayern)</w:t>
      </w:r>
    </w:p>
    <w:p>
      <w:r>
        <w:rPr>
          <w:color w:val="555555"/>
          <w:sz w:val="18"/>
        </w:rPr>
        <w:t xml:space="preserve">Ausbildungs- und Prüfungsordnung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13. Oktober 2003</w:t>
      </w:r>
    </w:p>
    <w:p>
      <w:r>
        <w:t xml:space="preserve">Bayerisches Staatsministerium der Justiz</w:t>
      </w:r>
    </w:p>
    <w:p>
      <w:r>
        <w:t xml:space="preserve">Dr. Manfred Weiß, Staatsminister</w:t>
      </w:r>
    </w:p>
    <w:p>
      <w:r>
        <w:t xml:space="preserve">Bayerisches Staatsministerium des Innern</w:t>
      </w:r>
    </w:p>
    <w:p>
      <w:r>
        <w:t xml:space="preserve">Dr. Günther Beckstein, Staatsminister</w:t>
      </w:r>
    </w:p>
    <w:p>
      <w:r>
        <w:t xml:space="preserve">Bayerisches Staatsministerium</w:t>
      </w:r>
    </w:p>
    <w:p>
      <w:r>
        <w:t xml:space="preserve">für Wissenschaft, Forschung und Kunst</w:t>
      </w:r>
    </w:p>
    <w:p>
      <w:r>
        <w:t xml:space="preserve">Dr. h.c. Hans Zehetmair, Staatsminister</w:t>
      </w:r>
    </w:p>
    <w:p>
      <w:r>
        <w:t xml:space="preserve">Bayerisches Staatsministerium der Finanzen</w:t>
      </w:r>
    </w:p>
    <w:p>
      <w:r>
        <w:t xml:space="preserve">Prof. Dr. Kurt Faltlhauser, Staatsminister</w:t>
      </w:r>
    </w:p>
    <w:p>
      <w:r>
        <w:t xml:space="preserve">Bayerisches Staatsministerium</w:t>
      </w:r>
    </w:p>
    <w:p>
      <w:r>
        <w:t xml:space="preserve">für Arbeit und Sozialordnung, Familie und Frauen</w:t>
      </w:r>
    </w:p>
    <w:p>
      <w:r>
        <w:t xml:space="preserve">Christa Stewens, Staatsministerin</w:t>
      </w:r>
    </w:p>
    <w:p>
      <w:r>
        <w:rPr>
          <w:color w:val="555555"/>
          <w:sz w:val="17"/>
        </w:rPr>
        <w:t xml:space="preserve">Zitiervorschlag: Schlussformel JAPO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https://recht.nulegal.eu/gesetze/JAPO/schlussformel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