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JAPO (Bayern) — Entlassung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 dem Vorbereitungsdienst ist zu entlassen, wer die Entlassung beantragt.</w:t>
      </w:r>
    </w:p>
    <w:p>
      <w:r>
        <w:t xml:space="preserve">(2) Rechtsreferendare können entlassen werden, wenn ein wichtiger Grund vorliegt. Ein wichtiger Grund liegt insbesondere vor, wenn</w:t>
      </w:r>
    </w:p>
    <w:p>
      <w:r>
        <w:t xml:space="preserve">1. während des Vorbereitungsdienstes ein Umstand eintritt oder nachträglich bekannt wird, der die Versagung der Aufnahme in den Vorbereitungsdienst rechtfertigen würde,</w:t>
      </w:r>
    </w:p>
    <w:p>
      <w:r>
        <w:t xml:space="preserve">2. die Rechtsreferendare in ihrer Ausbildung nicht hinreichend fortschreiten, insbesondere, wenn sie in zwei Ausbildungsabschnitten keine ausreichenden Leistungen erzielt haben,</w:t>
      </w:r>
    </w:p>
    <w:p>
      <w:r>
        <w:t xml:space="preserve">3. die Rechtsreferendare länger als sechs Monate dienstunfähig sind, nicht zu erwarten ist, dass sie binnen drei Monaten wieder dienstfähig werden und sie deshalb nicht mehr ordnungsgemäß ausgebildet werden können.</w:t>
      </w:r>
    </w:p>
    <w:p>
      <w:r>
        <w:t xml:space="preserve">(3) Die beamtenrechtlichen Vorschriften über die Beendigung des Beamtenverhältnisses gelten entsprechend.</w:t>
      </w:r>
    </w:p>
    <w:p>
      <w:r>
        <w:t xml:space="preserve">(4) Die Entlassung, auch die in entsprechender Anwendung der beamtenrechtlichen Vorschriften, wird von dem Präsidenten des jeweiligen Oberlandesgerichts im Einvernehmen mit der jeweiligen Regierung verfügt.</w:t>
      </w:r>
    </w:p>
    <w:p>
      <w:r>
        <w:rPr>
          <w:color w:val="555555"/>
          <w:sz w:val="17"/>
        </w:rPr>
        <w:t xml:space="preserve">Zitiervorschlag: § 55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