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JAPO (Bayern) — Leitung des Vorbereitungsdienstes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Präsidenten der Oberlandesgerichte leiten die Gesamtausbildung der Rechtsreferendare ihres Bezirks, soweit nicht nach Abs. 2 die jeweilige Regierung zuständig ist. Für die Genehmigung einer Nebentätigkeit sind die Präsidenten der Oberlandesgerichte während der gesamten Dauer des Vorbereitungsdienstes zuständig.</w:t>
      </w:r>
    </w:p>
    <w:p>
      <w:r>
        <w:t xml:space="preserve">(2) Die Regierungen leiten die Gesamtausbildung der Rechtsreferendare ihres Bezirks während der Ausbildung nach § 48 Abs. 2 Satz 1 Nr. 2 sowie nach § 48 Abs. 2 Satz 1 Nr. 4 und Abs. 3, soweit das Pflichtwahlpraktikum in den Berufsfeldern 2, 4, 5 oder 7 (§ 49 Abs. 1 Nr. 2, 4, 5 und 7) abgeleistet wird.</w:t>
      </w:r>
    </w:p>
    <w:p>
      <w:r>
        <w:rPr>
          <w:color w:val="555555"/>
          <w:sz w:val="17"/>
        </w:rPr>
        <w:t xml:space="preserve">Zitiervorschlag: § 45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