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JAPO (Bayern) — Schwerpunktbereiche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Schwerpunktbereiche dienen der Ergänzung des Studiums, der Vertiefung der mit ihnen zusammenhängenden Pflichtfächer und, soweit sie interdisziplinäre und internationale Bezüge aufweisen, deren Vermittlung.</w:t>
      </w:r>
    </w:p>
    <w:p>
      <w:r>
        <w:t xml:space="preserve">(2) Das Schwerpunktbereichsstudium umfasst mindestens 12 und höchstens 14 Semesterwochenstunden. Es darf höchstens zu 50 % Lehrveranstaltungen enthalten, die Pflichtfächer (§ 18 Abs. 2) vertiefen. Satz 1 gilt nicht für Schwerpunktbereiche in einer ausländischen Rechtsordnung, die an einer ausländischen Partnerhochschule absolviert werden.</w:t>
      </w:r>
    </w:p>
    <w:p>
      <w:r>
        <w:rPr>
          <w:color w:val="555555"/>
          <w:sz w:val="17"/>
        </w:rPr>
        <w:t xml:space="preserve">Zitiervorschlag: § 39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