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JAPO (Bayern) — Schriftliche Prüfung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schriftlichen Prüfung ist an sechs Tagen je eine schriftliche Arbeit unter Aufsicht zu fertigen. Die Arbeitszeit beträgt jeweils fünf Stunden.</w:t>
      </w:r>
    </w:p>
    <w:p>
      <w:r>
        <w:t xml:space="preserve">(2) Es sind zu bearbeiten:</w:t>
      </w:r>
    </w:p>
    <w:p>
      <w:r>
        <w:t xml:space="preserve">1. drei Aufgaben mit dem Schwerpunkt aus dem Bürgerlichen Recht einschließlich des Zivilverfahrensrechts, des Handels- und Gesellschaftsrechts und des Arbeitsrechts (§ 18 Abs. 2 Nr. 1 bis 3 und 7 Buchst. a und b),</w:t>
      </w:r>
    </w:p>
    <w:p>
      <w:r>
        <w:t xml:space="preserve">2. eine Aufgabe mit dem Schwerpunkt aus dem Strafrecht einschließlich des Strafverfahrensrechts (§ 18 Abs. 2 Nr. 4 und 7 Buchst. a und c),</w:t>
      </w:r>
    </w:p>
    <w:p>
      <w:r>
        <w:t xml:space="preserve">3. zwei Aufgaben mit dem Schwerpunkt aus dem Öffentlichen Recht einschließlich des Verfassungs- und Verwaltungsprozessrechts (§ 18 Abs. 2 Nr. 5 und 7 Buchst. a, d und e).</w:t>
      </w:r>
    </w:p>
    <w:p>
      <w:r>
        <w:t xml:space="preserve">Der Schwerpunkt einzelner Aufgaben kann auch im Europarecht (§ 18 Abs. 2 Nr. 6) liegen. Die Aufgaben können ganz oder teilweise die Behandlung theoretischer Themen zum Gegenstand haben. Mindestens eine der Aufgaben soll auch rechtsgestaltende oder rechtsberatende Fragen zum Gegenstand haben.</w:t>
      </w:r>
    </w:p>
    <w:p>
      <w:r>
        <w:rPr>
          <w:color w:val="555555"/>
          <w:sz w:val="17"/>
        </w:rPr>
        <w:t xml:space="preserve">Zitiervorschlag: § 28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