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JAPO (Bayern) — Ordnungsgemäßes Studium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Bewerber haben in jedem Semester eine angemessene Zahl von Lehrveranstaltungen über die Pflichtfächer oder sonstige juristische Fächer zu besuchen. Weiter haben sie an vorlesungsbegleitenden Arbeitsgemeinschaften und aufeinander abgestimmten Wiederholungs- und Vertiefungsveranstaltungen zur Examensvorbereitung in den Kerngebieten des Rechts teilzunehmen.</w:t>
      </w:r>
    </w:p>
    <w:p>
      <w:r>
        <w:t xml:space="preserve">(2) Das Studium berücksichtigt die Prüfungsinhalte nach § 2 Satz 1 sowie die Bedeutung der ethischen und sozialen Grundlagen des Rechts für die berufliche Praxis. Es berücksichtigt auch die zunehmende Bedeutung der Digitalisierung.</w:t>
      </w:r>
    </w:p>
    <w:p>
      <w:r>
        <w:rPr>
          <w:color w:val="555555"/>
          <w:sz w:val="17"/>
        </w:rPr>
        <w:t xml:space="preserve">Zitiervorschlag: § 23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