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JüdMilSeelsG</w:t>
      </w:r>
    </w:p>
    <w:p>
      <w:r>
        <w:rPr>
          <w:color w:val="555555"/>
          <w:sz w:val="18"/>
        </w:rPr>
        <w:t xml:space="preserve">Gesetz über die jüdische Militärseelsorge</w:t>
      </w:r>
    </w:p>
    <w:p>
      <w:r>
        <w:rPr>
          <w:color w:val="555555"/>
          <w:sz w:val="18"/>
        </w:rPr>
        <w:t xml:space="preserve">Stand: 21.07.2020 (konsolidierte Textfassung, kein amtliches Inkrafttretensdatum)</w:t>
      </w:r>
    </w:p>
    <w:p>
      <w:r>
        <w:t xml:space="preserve">Änderungen des Vertrages bedürfen der Zustimmung des Deutschen Bundestages in der Form eines Bundesgesetzes.</w:t>
      </w:r>
    </w:p>
    <w:p>
      <w:r>
        <w:rPr>
          <w:color w:val="555555"/>
          <w:sz w:val="17"/>
        </w:rPr>
        <w:t xml:space="preserve">Zitiervorschlag: Art 2 JüdMilSeelsG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https://recht.nulegal.eu/gesetze/J%C3%BCdMilSeelsG/2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