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IsraelAufenthÜV — Gegenstand</w:t>
      </w:r>
    </w:p>
    <w:p>
      <w:r>
        <w:rPr>
          <w:color w:val="555555"/>
          <w:sz w:val="18"/>
        </w:rPr>
        <w:t xml:space="preserve">Israel-Aufenthalts-Übergangsverordnung</w:t>
      </w:r>
    </w:p>
    <w:p>
      <w:r>
        <w:rPr>
          <w:color w:val="555555"/>
          <w:sz w:val="18"/>
        </w:rPr>
        <w:t xml:space="preserve">Historische Fassung: Stand 26.01.2024 bis 27.04.2024. Dies ist nicht die aktuelle Fassung.</w:t>
      </w:r>
    </w:p>
    <w:p>
      <w:r>
        <w:t xml:space="preserve">Diese Verordnung regelt anlässlich des durch die Terrororganisation Hamas verursachten Krieges in Israel die vorübergehende Befreiung israelischer Staatsangehöriger vom Erfordernis eines Aufenthaltstitels für den Aufenthalt im Bundesgebiet.</w:t>
      </w:r>
    </w:p>
    <w:p>
      <w:r>
        <w:rPr>
          <w:color w:val="555555"/>
          <w:sz w:val="17"/>
        </w:rPr>
        <w:t xml:space="preserve">Zitiervorschlag: § 1 IsraelAufenthÜV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https://recht.nulegal.eu/gesetze/IsraelAufenth%C3%9CV/1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