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IsolMstrV — Arbeitsprobe</w:t>
      </w:r>
    </w:p>
    <w:p>
      <w:r>
        <w:rPr>
          <w:color w:val="555555"/>
          <w:sz w:val="18"/>
        </w:rPr>
        <w:t xml:space="preserve">Isolierermeisterverordnung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Arbeitsprobe sind zwei der nachstehenden Arbeiten auszuführen:</w:t>
      </w:r>
    </w:p>
    <w:p>
      <w:pPr>
        <w:ind w:left="420"/>
      </w:pPr>
      <w:r>
        <w:t xml:space="preserve">1. ein Oberflächenschutz aus Blech oder Kunststoff,</w:t>
      </w:r>
    </w:p>
    <w:p>
      <w:pPr>
        <w:ind w:left="420"/>
      </w:pPr>
      <w:r>
        <w:t xml:space="preserve">2. eine abnehmbare Dämmung,</w:t>
      </w:r>
    </w:p>
    <w:p>
      <w:pPr>
        <w:ind w:left="420"/>
      </w:pPr>
      <w:r>
        <w:t xml:space="preserve">3. eine Wärmedämmung mit Mineralfasermatten und einer Hartmantelabglättung,</w:t>
      </w:r>
    </w:p>
    <w:p>
      <w:pPr>
        <w:ind w:left="420"/>
      </w:pPr>
      <w:r>
        <w:t xml:space="preserve">4. eine Kälte- oder eine Schalldämmung.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IsolMstrV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https://recht.nulegal.eu/gesetze/IsolMstrV/4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