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IslPrävG — Bundesweite Koordinierung</w:t>
      </w:r>
    </w:p>
    <w:p>
      <w:r>
        <w:rPr>
          <w:color w:val="555555"/>
          <w:sz w:val="18"/>
        </w:rPr>
        <w:t xml:space="preserve">Gesetz zur Verstetigung von Beratung und Maßnahmen zur Islamismusprävention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Das Bundesministerium des Innern und für Heimat und das Bundesamt für Migration und Flüchtlinge koordinieren einen bundesweiten Austausch zwischen Wissenschaft, zivilgesellschaftlicher Praxis und Behörden zur Weiterentwicklung von Präventionsmaßnahmen.</w:t>
      </w:r>
    </w:p>
    <w:p>
      <w:r>
        <w:rPr>
          <w:color w:val="555555"/>
          <w:sz w:val="17"/>
        </w:rPr>
        <w:t xml:space="preserve">Zitiervorschlag: § 2 IslPrävG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https://recht.nulegal.eu/gesetze/IslPr%C3%A4vG/2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