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InvföG (Nordrhein-Westfalen)</w:t>
      </w:r>
    </w:p>
    <w:p>
      <w:r>
        <w:rPr>
          <w:color w:val="555555"/>
          <w:sz w:val="18"/>
        </w:rPr>
        <w:t xml:space="preserve">Investitionsförderungsgesetz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April 2009</w:t>
      </w:r>
    </w:p>
    <w:p>
      <w:r>
        <w:t xml:space="preserve">(Artikel 1 des Gesetzes zur Umsetzung des Zukunftsinvestitionsgesetzes</w:t>
      </w:r>
    </w:p>
    <w:p>
      <w:r>
        <w:t xml:space="preserve">in Nordrhein-Westfalen vom 2. April 2009 (GV. NRW. S. 187))</w:t>
      </w:r>
    </w:p>
    <w:p>
      <w:r>
        <w:t xml:space="preserve">1. Abschnitt</w:t>
      </w:r>
    </w:p>
    <w:p>
      <w:r>
        <w:t xml:space="preserve">Allgemeines</w:t>
      </w:r>
    </w:p>
    <w:p>
      <w:r>
        <w:rPr>
          <w:color w:val="555555"/>
          <w:sz w:val="17"/>
        </w:rPr>
        <w:t xml:space="preserve">Zitiervorschlag: Volltext InvföG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https://recht.nulegal.eu/gesetze/Invf%C3%B6G/volltext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