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InvföG (Nordrhein-Westfalen) — Investitionen in Krankenhäusern</w:t>
      </w:r>
    </w:p>
    <w:p>
      <w:r>
        <w:rPr>
          <w:color w:val="555555"/>
          <w:sz w:val="18"/>
        </w:rPr>
        <w:t xml:space="preserve">Investitionsförderungsgesetz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Mittel gem. § 2 Absatz 2 Satz 1 können von Krankenhäusern nach § 8 Absatz 1 KHG im Rahmen ihres Versorgungsauftrages in Anspruch genommen werden, denen für das Jahr 2008 pauschale Fördermittel nach § 18 Absatz 1 Nummer 1 oder Nummer 2 KHGG NRW bewilligt wurden.</w:t>
      </w:r>
    </w:p>
    <w:p>
      <w:r>
        <w:t xml:space="preserve">(2) Für jedes Krankenhaus wird von der Bewilligungsbehörde ein Förderrahmen festgelegt, der aus Fallwert-, Tageswert- und Budgetbeträgen in entsprechender Anwendung der §§ 2 bis 4 PauschKHFVO mit folgenden Maßgaben berechnet wird:</w:t>
      </w:r>
    </w:p>
    <w:p>
      <w:r>
        <w:t xml:space="preserve">1. An die Stelle der Haushaltsansätze im Sinne von § 2 PauschKHFVO tritt der Betrag gemäß § 2 Absatz 2 Satz 1.</w:t>
      </w:r>
    </w:p>
    <w:p>
      <w:r>
        <w:t xml:space="preserve">2. Als Bemessungsgrundlagen werden die bei der Berechnung pauschaler Fördermittel gem. § 18 Absatz 1 KHGG NRW für das Jahr 2008 verwendeten Werte übernommen.</w:t>
      </w:r>
    </w:p>
    <w:p>
      <w:r>
        <w:t xml:space="preserve">3. Der Fallwert im Sinne von § 2 PauschKHFVO beträgt 44,126 Euro.</w:t>
      </w:r>
    </w:p>
    <w:p>
      <w:r>
        <w:t xml:space="preserve">4. Der Tageswert im Sinne von § 3 PauschKHFVO beträgt 2,506 Euro für vollstätionäre Berechnungstage und 1,566 Euro für teilstationäre Berechnungstage.</w:t>
      </w:r>
    </w:p>
    <w:p>
      <w:r>
        <w:t xml:space="preserve">5. Die Berechnung der Budgetbeträge im Sinne von § 4 PauschKHFVO erfolgt mit einem Vomhundertsatz in Höhe von 1,45.</w:t>
      </w:r>
    </w:p>
    <w:p>
      <w:r>
        <w:t xml:space="preserve">6. Die Übergangsregelungen der §§ 9 und 10 PauschKHFVO finden keine Anwendung.</w:t>
      </w:r>
    </w:p>
    <w:p>
      <w:r>
        <w:t xml:space="preserve">(3) Ein Krankenhaus kann die Inanspruchnahme seines Förderrahmens gemäß Absatz 2 ganz oder teilweise anderen förderungsberechtigten Krankenhäusern überlassen. Die Überlassung ist der Bewilligungsbehörde unverzüglich schriftlich anzuzeigen.</w:t>
      </w:r>
    </w:p>
    <w:p>
      <w:r>
        <w:t xml:space="preserve">(4) Mittel, die von einem Krankenhaus nicht abgerufen oder einem anderen Krankenhaus zur Inanspruchnahme gemäß Absatz 3 überlassen werden, können abweichend von der Verteilung gemäß Absatz 2 durch das zuständige Ministerium neu bereitgestellt werden.</w:t>
      </w:r>
    </w:p>
    <w:p>
      <w:r>
        <w:t xml:space="preserve">4. Abschnitt</w:t>
      </w:r>
    </w:p>
    <w:p>
      <w:r>
        <w:t xml:space="preserve">Verfahren</w:t>
      </w:r>
    </w:p>
    <w:p>
      <w:r>
        <w:rPr>
          <w:color w:val="555555"/>
          <w:sz w:val="17"/>
        </w:rPr>
        <w:t xml:space="preserve">Zitiervorschlag: § 9 InvföG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https://recht.nulegal.eu/gesetze/Invf%C3%B6G/9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