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InvföG (Nordrhein-Westfalen) — Erleichterung für finanzschwache Gemeinden (GV)</w:t>
      </w:r>
    </w:p>
    <w:p>
      <w:r>
        <w:rPr>
          <w:color w:val="555555"/>
          <w:sz w:val="18"/>
        </w:rPr>
        <w:t xml:space="preserve">Investitionsförderungsgesetz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 nach diesem Gesetz geförderten Investitionsmaßnahmen ausschließlich aus den bereitgestellten Mitteln finanziert werden, findet § 82 GO NRW keine Anwendung.</w:t>
      </w:r>
    </w:p>
    <w:p>
      <w:r>
        <w:t xml:space="preserve">(2) Investitionsmaßnahmen von Gemeinden (GV) mit nicht genehmigungsfähigem Haushaltssicherungskonzept sollen künftige Haushalte entlasten. Investitionsmaßnahmen, deren Folgekosten ihre Entlastungswirkung für künftige Haushalte übersteigen, sind in Gemeinden (GV) mit nicht genehmigungsfähigem Haushaltssicherungskonzept unzulässig.</w:t>
      </w:r>
    </w:p>
    <w:p>
      <w:r>
        <w:rPr>
          <w:color w:val="555555"/>
          <w:sz w:val="17"/>
        </w:rPr>
        <w:t xml:space="preserve">Zitiervorschlag: § 7 InvföG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https://recht.nulegal.eu/gesetze/Invf%C3%B6G/7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