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InvföG (Nordrhein-Westfalen) — Investitionsbegriff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Investitionen im Sinne dieses Gesetzes sind Mittelverwendungen, die Investitionsausgaben nach § 13 Absatz 3 Nummer 2 Buchstaben a bis c BHO sind. Für § 13 Absatz 3 Buchstabe g gilt das nur insoweit, als die Zuschüsse und Zuweisungen für die in § 13 Absatz 3 Nummer 2 Buchstabe a bis Buchstabe c genannten Zwecke gewährt werden.</w:t>
      </w:r>
    </w:p>
    <w:p>
      <w:r>
        <w:t xml:space="preserve">2. Abschnitt</w:t>
      </w:r>
    </w:p>
    <w:p>
      <w:r>
        <w:t xml:space="preserve">Regelungen für Gemeinden (GV)</w:t>
      </w:r>
    </w:p>
    <w:p>
      <w:r>
        <w:rPr>
          <w:color w:val="555555"/>
          <w:sz w:val="17"/>
        </w:rPr>
        <w:t xml:space="preserve">Zitiervorschlag: § 3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