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InvföG (Nordrhein-Westfalen) — Inkrafttreten, Befristung</w:t>
      </w:r>
    </w:p>
    <w:p>
      <w:r>
        <w:rPr>
          <w:color w:val="555555"/>
          <w:sz w:val="18"/>
        </w:rPr>
        <w:t xml:space="preserve">Investitionsförderungsgesetz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 Es tritt am 31. Dezember 2030 außer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Minister</w:t>
      </w:r>
    </w:p>
    <w:p>
      <w:r>
        <w:t xml:space="preserve">für Innovation, Wissenschaft,</w:t>
      </w:r>
    </w:p>
    <w:p>
      <w:r>
        <w:t xml:space="preserve">Forschung und Technologie</w:t>
      </w:r>
    </w:p>
    <w:p>
      <w:r>
        <w:t xml:space="preserve">Der Finanzminister</w:t>
      </w:r>
    </w:p>
    <w:p>
      <w:r>
        <w:t xml:space="preserve">Die Ministerin</w:t>
      </w:r>
    </w:p>
    <w:p>
      <w:r>
        <w:t xml:space="preserve">für Wirtschaft, Mittelstand und Energie</w:t>
      </w:r>
    </w:p>
    <w:p>
      <w:r>
        <w:t xml:space="preserve">Der Innenminister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Minister</w:t>
      </w:r>
    </w:p>
    <w:p>
      <w:r>
        <w:t xml:space="preserve">für Bauen und Verkehr</w:t>
      </w:r>
    </w:p>
    <w:p>
      <w:r>
        <w:t xml:space="preserve">Die Justizministerin</w:t>
      </w:r>
    </w:p>
    <w:p>
      <w:r>
        <w:t xml:space="preserve">Der Minister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t xml:space="preserve">Der Minister</w:t>
      </w:r>
    </w:p>
    <w:p>
      <w:r>
        <w:t xml:space="preserve">für Generationen, Familie,</w:t>
      </w:r>
    </w:p>
    <w:p>
      <w:r>
        <w:t xml:space="preserve">Frauen und Integration</w:t>
      </w:r>
    </w:p>
    <w:p>
      <w:r>
        <w:t xml:space="preserve">Der Minister</w:t>
      </w:r>
    </w:p>
    <w:p>
      <w:r>
        <w:t xml:space="preserve">für Bundesangelegenheiten, Europa und Medien</w:t>
      </w:r>
    </w:p>
    <w:p>
      <w:r>
        <w:rPr>
          <w:color w:val="555555"/>
          <w:sz w:val="17"/>
        </w:rPr>
        <w:t xml:space="preserve">Zitiervorschlag: § 14 InvföG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https://recht.nulegal.eu/gesetze/Invf%C3%B6G/14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