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InvföG (Nordrhein-Westfalen) — Berichtspflichten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(GV) und Krankenhäuser übersenden den Bezirksregierungen vierteljährlich eine Liste der laufenden und geplanten Investitionsmaßnahmen nach Muster gemäß § 11 Absatz 4. Den ersten Berichtstermin legen die zuständigen Ministerien gemeinsam fest. Die Meldung erfolgt auch elektronisch.</w:t>
      </w:r>
    </w:p>
    <w:p>
      <w:r>
        <w:t xml:space="preserve">(2) Die Gemeinden (GV) und Krankenhäuser berichten unverzüglich der zuständigen Bezirksregierung, sobald absehbar wird, dass sie die Mittel nicht vollständig in Anspruch nehmen können.</w:t>
      </w:r>
    </w:p>
    <w:p>
      <w:r>
        <w:rPr>
          <w:color w:val="555555"/>
          <w:sz w:val="17"/>
        </w:rPr>
        <w:t xml:space="preserve">Zitiervorschlag: § 12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