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InvföG (Nordrhein-Westfalen) — Mittelabruf, Verwendungsnachweis</w:t>
      </w:r>
    </w:p>
    <w:p>
      <w:r>
        <w:rPr>
          <w:color w:val="555555"/>
          <w:sz w:val="18"/>
        </w:rPr>
        <w:t xml:space="preserve">Investitionsförderungsgesetz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(GV) und Krankenhäuser können im Förderzeitraum gem. § 5 des ZuInvG Mittel für Maßnahmen gem. § 3 Absatz 1 Nummer 1 und 2 ZuInvG bis zur Höhe der für sie nach diesem Gesetz bereit gestellten Mittel bei der Bezirksregierung abrufen, sobald diese zur Begleichung erforderlicher Zahlungen benötigt werden.</w:t>
      </w:r>
    </w:p>
    <w:p>
      <w:r>
        <w:t xml:space="preserve">(2) Spätestens mit dem ersten Mittelabruf legt die Gemeinde (GV) oder das Krankenhaus die erforderlichen Informationen zur jeweiligen Maßnahme vor. Dem Mittelabruf ist eine Bestätigung der Hauptverwaltungsbeamtin / des Hauptverwaltungsbeamten beizufügen, dass die Voraussetzungen, insbesondere</w:t>
      </w:r>
    </w:p>
    <w:p>
      <w:r>
        <w:t xml:space="preserve">– die Übereinstimmung der Maßnahme mit § 3 Absatz 1 Nummer 1 und 2 des ZuInvG</w:t>
      </w:r>
    </w:p>
    <w:p>
      <w:r>
        <w:t xml:space="preserve">– die Zusätzlichkeit der Maßnahme</w:t>
      </w:r>
    </w:p>
    <w:p>
      <w:r>
        <w:t xml:space="preserve">– das Nichtvorliegen einer Doppelförderung gem. § 4 Absatz 1 und 2 ZuInvG</w:t>
      </w:r>
    </w:p>
    <w:p>
      <w:r>
        <w:t xml:space="preserve">– die Nachhaltigkeit der Maßnahme gem. § 4 Absatz 3 ZuInvG und</w:t>
      </w:r>
    </w:p>
    <w:p>
      <w:r>
        <w:t xml:space="preserve">– die Voraussetzungen des § 5 ZuInvG</w:t>
      </w:r>
    </w:p>
    <w:p>
      <w:r>
        <w:t xml:space="preserve">– die Erforderlichkeit der abgerufenen Mittel zur Begleichung von Zahlungen gem. § 6 Absatz 2 Satz 2 ZuInvG</w:t>
      </w:r>
    </w:p>
    <w:p>
      <w:r>
        <w:t xml:space="preserve">gegeben sind. Bei Investitionen in Krankenhäusern gemäß § 2 Absatz 2 Satz 1 erfolgt die Bestätigung nach Satz 2 durch den Krankenhausträger.</w:t>
      </w:r>
    </w:p>
    <w:p>
      <w:r>
        <w:t xml:space="preserve">(3) Die Beendigung einer Maßnahme ist der Bezirksregierung unverzüglich, spätestens 2 Monate nach der Beendigung, anzuzeigen. Dieser Anzeige ist ein Testat der örtlichen Rechnungsprüfung über die zweckentsprechende Verwendung der Mittel beizufügen, bei Investitionen in Krankenhäusern gemäß § 2 Absatz 2 Satz 1 kann das Testat auch durch die Wirtschaftsprüferin oder den Wirtschaftsprüfer erfolgen. Die testierte Beendigungsanzeige gilt als Verwendungsnachweis.</w:t>
      </w:r>
    </w:p>
    <w:p>
      <w:r>
        <w:t xml:space="preserve">(4) Die Informationen und die Bestätigung gemäß Absatz 2 sowie gemäß Absatz 3 erfolgen nach dem durch das zuständige Ministerium vorgegebenen Muster.</w:t>
      </w:r>
    </w:p>
    <w:p>
      <w:r>
        <w:t xml:space="preserve">(5) Die Gemeinden (GV) rufen auch die Mittel für Maßnahmen anderer Träger ab, soweit es sich nicht um Investitionen in Krankenhäusern gemäß § 2 Absatz 2 Satz 1 handelt. Das Verhalten der anderen Träger wird den Gemeinden (GV) zugerechnet.</w:t>
      </w:r>
    </w:p>
    <w:p>
      <w:r>
        <w:rPr>
          <w:color w:val="555555"/>
          <w:sz w:val="17"/>
        </w:rPr>
        <w:t xml:space="preserve">Zitiervorschlag: § 11 InvföG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https://recht.nulegal.eu/gesetze/Invf%C3%B6G/11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