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InvZulG2005DV</w:t>
      </w:r>
    </w:p>
    <w:p>
      <w:r>
        <w:rPr>
          <w:color w:val="555555"/>
          <w:sz w:val="18"/>
        </w:rPr>
        <w:t xml:space="preserve">Verordnung zur Durchführung von § 5 Abs. 2 Satz 4 des Investitionszulagengesetzes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2 Satz 4 des Investitionszulagengesetzes 2005 vom 17. März 2004 (BGBl. I S. 438, 2005 I S. 1059) verordnet das Bundesministerium der Finanzen:</w:t>
      </w:r>
    </w:p>
    <w:p>
      <w:r>
        <w:rPr>
          <w:color w:val="555555"/>
          <w:sz w:val="17"/>
        </w:rPr>
        <w:t xml:space="preserve">Zitiervorschlag: Eingangsformel InvZulG2005DV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https://recht.nulegal.eu/gesetze/InvZulG2005DV/eingangsformel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