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InvZulG2005DV — Inkrafttreten</w:t>
      </w:r>
    </w:p>
    <w:p>
      <w:r>
        <w:rPr>
          <w:color w:val="555555"/>
          <w:sz w:val="18"/>
        </w:rPr>
        <w:t xml:space="preserve">Verordnung zur Durchführung von § 5 Abs. 2 Satz 4 des Investitionszulagengesetzes 2005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an dem Tag in Kraft, an dem die Europäische Kommission die hierzu erforderliche beihilferechtliche Genehmigung erteilt.</w:t>
      </w:r>
    </w:p>
    <w:p>
      <w:r>
        <w:t xml:space="preserve">(2) Der Tag des Inkrafttretens ist vom Bundesministerium der Finanzen im Bundesgesetzblatt gesondert bekannt zu geben.</w:t>
      </w:r>
    </w:p>
    <w:p>
      <w:r>
        <w:rPr>
          <w:color w:val="555555"/>
          <w:sz w:val="17"/>
        </w:rPr>
        <w:t xml:space="preserve">Zitiervorschlag: § 2 InvZulG2005DV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https://recht.nulegal.eu/gesetze/InvZulG2005DV/2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