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InvZulG 2010 — Einzelnotifizierungspflichten, Genehmigungsvorbehalte sowie anzuwendende Rechtsvorschriften der Kommission der Europäischen Gemeinschaften</w:t>
      </w:r>
    </w:p>
    <w:p>
      <w:r>
        <w:rPr>
          <w:color w:val="555555"/>
          <w:sz w:val="18"/>
        </w:rPr>
        <w:t xml:space="preserve">Investitionszulagengesetz 2010</w:t>
      </w:r>
    </w:p>
    <w:p>
      <w:r>
        <w:rPr>
          <w:color w:val="555555"/>
          <w:sz w:val="18"/>
        </w:rPr>
        <w:t xml:space="preserve">Stand: 10.06.2019 (konsolidierte Textfassung, kein amtliches Inkrafttretensdatum)</w:t>
      </w:r>
    </w:p>
    <w:p>
      <w:r>
        <w:t xml:space="preserve">(1) Auf dieses Gesetz findet die Verordnung (EG) Nr. 800/2008 der Kommission vom 6. August 2008 zur Erklärung der Vereinbarkeit bestimmter Gruppen von Beihilfen mit dem Gemeinsamen Markt in Anwendung der Artikel 87 und 88 EG-Vertrag (allgemeine Gruppenfreistellungsverordnung) (ABl. EU Nr. L 214 S. 3) Anwendung.</w:t>
      </w:r>
    </w:p>
    <w:p>
      <w:r>
        <w:t xml:space="preserve">(2) Die Investitionszulage für Investitionen, die zu einem großen Investitionsvorhaben gehören, das die Anmeldungsvoraussetzungen des multisektoralen Regionalbeihilferahmens für große Investitionsvorhaben vom 16. Dezember 1997 (ABl. EG 1998 Nr. C 107 S. 7), zuletzt geändert durch die Mitteilung der Kommission vom 11. August 2001 (ABl. EG Nr. C 226 S. 1), oder des multisektoralen Regionalbeihilferahmens für große Investitionsvorhaben vom 19. März 2002 erfüllt, ist erst festzusetzen, wenn die Kommission die höchstzulässige Beihilfeintensität festgelegt hat.</w:t>
      </w:r>
    </w:p>
    <w:p>
      <w:r>
        <w:t xml:space="preserve">(3) Die Investitionszulage zugunsten großer Investitionsvorhaben im Sinne der Leitlinien für staatliche Beihilfen mit regionaler Zielsetzung 2007–2013 ist bei der Kommission anzumelden, wenn der Gesamtförderbetrag aus sämtlichen Quellen folgende Beträge überschreitet:</w:t>
      </w:r>
    </w:p>
    <w:p>
      <w:pPr>
        <w:ind w:left="420"/>
      </w:pPr>
      <w:r>
        <w:t xml:space="preserve">1. 22,5 Millionen Euro bei Erstinvestitionsvorhaben in Fördergebieten nach Artikel 87 Abs. 3 Buchstabe a des Vertrags zur Gründung der Europäischen Gemeinschaft mit 30 Prozent Beihilfehöchstintensität,</w:t>
      </w:r>
    </w:p>
    <w:p>
      <w:pPr>
        <w:ind w:left="420"/>
      </w:pPr>
      <w:r>
        <w:t xml:space="preserve">2. 11,25 Millionen Euro bei Erstinvestitionsvorhaben in Fördergebieten nach Artikel 87 Abs. 3 Buchstabe c des Vertrags zur Gründung der Europäischen Gemeinschaft mit 15 Prozent Beihilfehöchstintensität,</w:t>
      </w:r>
    </w:p>
    <w:p>
      <w:pPr>
        <w:ind w:left="420"/>
      </w:pPr>
      <w:r>
        <w:t xml:space="preserve">3. 15 Millionen Euro bei Erstinvestitionsvorhaben in Fördergebieten nach Artikel 87 Abs. 3 Buchstabe c des Vertrags zur Gründung der Europäischen Gemeinschaft mit 20 Prozent Beihilfehöchstintensität.</w:t>
      </w:r>
    </w:p>
    <w:p>
      <w:r>
        <w:t xml:space="preserve">Die Investitionszulage ist in diesen Fällen erst festzusetzen, wenn die Kommission die höchstzulässige Beihilfeintensität festgelegt hat.</w:t>
      </w:r>
    </w:p>
    <w:p>
      <w:r>
        <w:t xml:space="preserve">(4) Die Investitionszulage für Investitionen in den in der Anlage 2 Nr. 2 und 5 aufgeführten sensiblen Sektoren Fischerei- und Aquakultur sowie Schiffbau ist bei der Kommission einzeln anzumelden und erst nach Genehmigung durch die Kommission festzusetzen. Die Investitionszulage für Investitionen in den in der Anlage 2 Nr. 1 und 4 aufgeführten sensiblen Sektoren Stahl- und Kunstfaserindustrie ist hingegen ausgeschlossen.</w:t>
      </w:r>
    </w:p>
    <w:p>
      <w:r>
        <w:t xml:space="preserve">(5) Bei einem Unternehmen, das einer Rückforderungsanordnung auf Grund einer Entscheidung der Kommission über die Rückzahlung einer Beihilfe nicht Folge leistet, ist die Investitionszulage erst festzusetzen, wenn der Rückforderungsbetrag zurückgezahlt worden ist.</w:t>
      </w:r>
    </w:p>
    <w:p>
      <w:r>
        <w:t xml:space="preserve">(6) Die Investitionszulage ist der Kommission zur Genehmigung vorzulegen und erst nach deren Genehmigung festzusetzen, wenn sie für ein Unternehmen in Schwierigkeiten bestimmt ist.</w:t>
      </w:r>
    </w:p>
    <w:p>
      <w:r>
        <w:rPr>
          <w:color w:val="555555"/>
          <w:sz w:val="17"/>
        </w:rPr>
        <w:t xml:space="preserve">Zitiervorschlag: § 9 InvZulG 2010</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https://recht.nulegal.eu/gesetze/InvZulG%202010/9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